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E2432" w14:textId="18A44CCB" w:rsidR="006A795F" w:rsidRDefault="006A795F" w:rsidP="00B11AF9">
      <w:pPr>
        <w:pStyle w:val="Sinespaciado"/>
        <w:rPr>
          <w:b/>
          <w:bCs/>
        </w:rPr>
      </w:pPr>
      <w:r>
        <w:rPr>
          <w:b/>
          <w:bCs/>
        </w:rPr>
        <w:t xml:space="preserve">SEGURIDAD DE KEYNURIC </w:t>
      </w:r>
    </w:p>
    <w:p w14:paraId="01ECDF47" w14:textId="77777777" w:rsidR="006A795F" w:rsidRDefault="006A795F" w:rsidP="00B11AF9">
      <w:pPr>
        <w:pStyle w:val="Sinespaciado"/>
        <w:rPr>
          <w:b/>
          <w:bCs/>
        </w:rPr>
      </w:pPr>
    </w:p>
    <w:p w14:paraId="6D0CBF22" w14:textId="116F9D29" w:rsidR="00B11AF9" w:rsidRPr="00B11AF9" w:rsidRDefault="00B11AF9" w:rsidP="00B11AF9">
      <w:pPr>
        <w:pStyle w:val="Sinespaciado"/>
        <w:rPr>
          <w:b/>
          <w:bCs/>
        </w:rPr>
      </w:pPr>
      <w:r w:rsidRPr="00B11AF9">
        <w:rPr>
          <w:b/>
          <w:bCs/>
        </w:rPr>
        <w:t>1 | INTRODUCCIÓN</w:t>
      </w:r>
    </w:p>
    <w:p w14:paraId="1D0D6FA5" w14:textId="77777777" w:rsidR="00B11AF9" w:rsidRPr="00B11AF9" w:rsidRDefault="00B11AF9" w:rsidP="00B11AF9">
      <w:pPr>
        <w:pStyle w:val="Sinespaciado"/>
      </w:pPr>
      <w:r w:rsidRPr="00B11AF9">
        <w:t>La gota es una enfermedad clínica común del sistema metabólico que puede contribuir a muchos eventos adversos para la salud. La evidencia muestra que el riesgo de hiperuricemia aumenta con la edad avanzada en ambos sexos.</w:t>
      </w:r>
      <w:r w:rsidRPr="00B11AF9">
        <w:br/>
        <w:t>Actualmente, los fármacos son la primera opción para el tratamiento de la gota en la práctica clínica.</w:t>
      </w:r>
      <w:r w:rsidRPr="00B11AF9">
        <w:br/>
        <w:t>Los estudios han encontrado que el tratamiento de la gota mediante la inhibición de la xantina oxidasa (alopurinol, febuxostat) puede aumentar la excreción de ácido úrico a través de los riñones y lograr mejores resultados.</w:t>
      </w:r>
    </w:p>
    <w:p w14:paraId="2780BCD3" w14:textId="77777777" w:rsidR="00B11AF9" w:rsidRPr="00B11AF9" w:rsidRDefault="00B11AF9" w:rsidP="00B11AF9">
      <w:pPr>
        <w:pStyle w:val="Sinespaciado"/>
      </w:pPr>
      <w:r w:rsidRPr="00B11AF9">
        <w:t>Estudios recientes han demostrado que el febuxostat, un novedoso inhibidor no purínico y selectivo de la xantina oxidasa (XO), es más efectivo que el alopurinol para reducir los niveles de ácido úrico en pacientes con hiperuricemia y gota. Es particularmente útil en pacientes que son refractarios o intolerantes al alopurinol, y no requiere limitación de dosis en las etapas 1 a 3 de la enfermedad renal crónica.</w:t>
      </w:r>
    </w:p>
    <w:p w14:paraId="10D8A0C1" w14:textId="77777777" w:rsidR="00B11AF9" w:rsidRPr="00B11AF9" w:rsidRDefault="00B11AF9" w:rsidP="00B11AF9">
      <w:pPr>
        <w:pStyle w:val="Sinespaciado"/>
      </w:pPr>
      <w:r w:rsidRPr="00B11AF9">
        <w:t>Sin embargo, la Administración de Alimentos y Medicamentos (FDA) emitió una alerta pública de seguridad en respuesta a los resultados del estudio CARES, que evaluó la seguridad cardiovascular del febuxostat y alopurinol en pacientes con gota y comorbilidades cardiovasculares.</w:t>
      </w:r>
      <w:r w:rsidRPr="00B11AF9">
        <w:br/>
        <w:t>La alerta pública de la FDA destaca la discusión sobre la seguridad cardiovascular del febuxostat.</w:t>
      </w:r>
      <w:r w:rsidRPr="00B11AF9">
        <w:br/>
        <w:t>En contraste, el ensayo solicitado por la Agencia Europea de Medicamentos (EMA) —un ensayo prospectivo, aleatorizado, abierto, con evaluación de desenlaces enmascarada, de no inferioridad entre febuxostat (80–120 mg/día) y alopurinol— no respalda el hallazgo de un mayor riesgo cardiovascular con febuxostat.</w:t>
      </w:r>
    </w:p>
    <w:p w14:paraId="619BC522" w14:textId="77777777" w:rsidR="00B11AF9" w:rsidRPr="00B11AF9" w:rsidRDefault="00B11AF9" w:rsidP="00B11AF9">
      <w:pPr>
        <w:pStyle w:val="Sinespaciado"/>
      </w:pPr>
      <w:r w:rsidRPr="00B11AF9">
        <w:t>La evidencia de una relación causal entre los inhibidores de la xantina oxidasa y las enfermedades cardiovasculares sigue siendo ambigua. Por lo tanto, este estudio tiene como objetivo llevar a cabo una revisión sistemática de los ensayos clínicos relevantes publicados en los últimos años para analizar los eventos adversos cardiovasculares y los riesgos de mortalidad del febuxostat comparado con el alopurinol en pacientes.</w:t>
      </w:r>
    </w:p>
    <w:p w14:paraId="433D0E0A" w14:textId="77777777" w:rsidR="004A70EF" w:rsidRDefault="004A70EF" w:rsidP="00B11AF9">
      <w:pPr>
        <w:pStyle w:val="Sinespaciado"/>
        <w:jc w:val="both"/>
      </w:pPr>
    </w:p>
    <w:p w14:paraId="76699EC9" w14:textId="77777777" w:rsidR="00B11AF9" w:rsidRDefault="00B11AF9" w:rsidP="00B11AF9">
      <w:pPr>
        <w:pStyle w:val="Sinespaciado"/>
        <w:jc w:val="both"/>
      </w:pPr>
    </w:p>
    <w:p w14:paraId="50A1ACCB" w14:textId="77777777" w:rsidR="00B11AF9" w:rsidRPr="00B11AF9" w:rsidRDefault="00B11AF9" w:rsidP="00B11AF9">
      <w:pPr>
        <w:pStyle w:val="Sinespaciado"/>
        <w:jc w:val="both"/>
        <w:rPr>
          <w:b/>
          <w:bCs/>
        </w:rPr>
      </w:pPr>
      <w:r w:rsidRPr="00B11AF9">
        <w:rPr>
          <w:b/>
          <w:bCs/>
        </w:rPr>
        <w:t>2 | MÉTODOS</w:t>
      </w:r>
    </w:p>
    <w:p w14:paraId="656EC3FB" w14:textId="77777777" w:rsidR="00B11AF9" w:rsidRPr="00B11AF9" w:rsidRDefault="00B11AF9" w:rsidP="00B11AF9">
      <w:pPr>
        <w:pStyle w:val="Sinespaciado"/>
        <w:jc w:val="both"/>
        <w:rPr>
          <w:b/>
          <w:bCs/>
        </w:rPr>
      </w:pPr>
      <w:r w:rsidRPr="00B11AF9">
        <w:rPr>
          <w:b/>
          <w:bCs/>
        </w:rPr>
        <w:t>2.1 | Estrategia de búsqueda y criterios de selección</w:t>
      </w:r>
    </w:p>
    <w:p w14:paraId="65616506" w14:textId="77777777" w:rsidR="00B11AF9" w:rsidRPr="00B11AF9" w:rsidRDefault="00B11AF9" w:rsidP="00B11AF9">
      <w:pPr>
        <w:pStyle w:val="Sinespaciado"/>
        <w:jc w:val="both"/>
      </w:pPr>
      <w:r w:rsidRPr="00B11AF9">
        <w:t>Seguimos las directrices PRISMA (Elementos de Reporte Preferidos para Revisiones Sistemáticas y Metaanálisis) en esta revisión sistemática y metaanálisis.</w:t>
      </w:r>
      <w:r w:rsidRPr="00B11AF9">
        <w:br/>
        <w:t>Se buscaron sistemáticamente ensayos clínicos sobre el tratamiento con febuxostat y alopurinol para la gota en personas mayores en las bases de datos PubMed, EMBASE, la Biblioteca Cochrane, y en revisiones de artículos relevantes desde enero del año 2000 hasta el 4 de abril de 2021.</w:t>
      </w:r>
      <w:r w:rsidRPr="00B11AF9">
        <w:br/>
        <w:t xml:space="preserve">Se utilizaron los siguientes términos: “Gout” (gota), “Febuxostat”, “Allopurinol” o </w:t>
      </w:r>
      <w:r w:rsidRPr="00B11AF9">
        <w:lastRenderedPageBreak/>
        <w:t>“Clinical Trial” (ensayo clínico), “adverse events” (eventos adversos). El idioma de publicación no influyó en la selección de artículos.</w:t>
      </w:r>
    </w:p>
    <w:p w14:paraId="646D8626" w14:textId="77777777" w:rsidR="00B11AF9" w:rsidRPr="00B11AF9" w:rsidRDefault="00B11AF9" w:rsidP="00B11AF9">
      <w:pPr>
        <w:pStyle w:val="Sinespaciado"/>
        <w:jc w:val="both"/>
      </w:pPr>
      <w:r w:rsidRPr="00B11AF9">
        <w:t>Se revisaron títulos y resúmenes para excluir estudios no elegibles.</w:t>
      </w:r>
      <w:r w:rsidRPr="00B11AF9">
        <w:br/>
        <w:t>Los estudios fueron incluidos si cumplían con los siguientes criterios:</w:t>
      </w:r>
    </w:p>
    <w:p w14:paraId="58C03A04" w14:textId="77777777" w:rsidR="00B11AF9" w:rsidRPr="00B11AF9" w:rsidRDefault="00B11AF9" w:rsidP="00B11AF9">
      <w:pPr>
        <w:pStyle w:val="Sinespaciado"/>
        <w:numPr>
          <w:ilvl w:val="0"/>
          <w:numId w:val="5"/>
        </w:numPr>
        <w:jc w:val="both"/>
      </w:pPr>
      <w:r w:rsidRPr="00B11AF9">
        <w:t>(i) Ensayos clínicos.</w:t>
      </w:r>
    </w:p>
    <w:p w14:paraId="617E9FF7" w14:textId="77777777" w:rsidR="00B11AF9" w:rsidRPr="00B11AF9" w:rsidRDefault="00B11AF9" w:rsidP="00B11AF9">
      <w:pPr>
        <w:pStyle w:val="Sinespaciado"/>
        <w:numPr>
          <w:ilvl w:val="0"/>
          <w:numId w:val="5"/>
        </w:numPr>
        <w:jc w:val="both"/>
      </w:pPr>
      <w:r w:rsidRPr="00B11AF9">
        <w:t>(ii) Tratamiento con febuxostat y alopurinol.</w:t>
      </w:r>
    </w:p>
    <w:p w14:paraId="51CBB1E1" w14:textId="77777777" w:rsidR="00B11AF9" w:rsidRPr="00B11AF9" w:rsidRDefault="00B11AF9" w:rsidP="00B11AF9">
      <w:pPr>
        <w:pStyle w:val="Sinespaciado"/>
        <w:numPr>
          <w:ilvl w:val="0"/>
          <w:numId w:val="5"/>
        </w:numPr>
        <w:jc w:val="both"/>
      </w:pPr>
      <w:r w:rsidRPr="00B11AF9">
        <w:t>(iii) Seguimiento a largo plazo de los pacientes.</w:t>
      </w:r>
    </w:p>
    <w:p w14:paraId="0E73D4D7" w14:textId="77777777" w:rsidR="00B11AF9" w:rsidRPr="00B11AF9" w:rsidRDefault="00B11AF9" w:rsidP="00B11AF9">
      <w:pPr>
        <w:pStyle w:val="Sinespaciado"/>
        <w:jc w:val="both"/>
      </w:pPr>
      <w:r w:rsidRPr="00B11AF9">
        <w:t>Criterios de exclusión:</w:t>
      </w:r>
    </w:p>
    <w:p w14:paraId="0CB8F641" w14:textId="77777777" w:rsidR="00B11AF9" w:rsidRPr="00B11AF9" w:rsidRDefault="00B11AF9" w:rsidP="00B11AF9">
      <w:pPr>
        <w:pStyle w:val="Sinespaciado"/>
        <w:numPr>
          <w:ilvl w:val="0"/>
          <w:numId w:val="6"/>
        </w:numPr>
        <w:jc w:val="both"/>
      </w:pPr>
      <w:r w:rsidRPr="00B11AF9">
        <w:t>(i) Documentos en idiomas distintos al chino e inglés.</w:t>
      </w:r>
    </w:p>
    <w:p w14:paraId="2ECBCD4B" w14:textId="77777777" w:rsidR="00B11AF9" w:rsidRPr="00B11AF9" w:rsidRDefault="00B11AF9" w:rsidP="00B11AF9">
      <w:pPr>
        <w:pStyle w:val="Sinespaciado"/>
        <w:numPr>
          <w:ilvl w:val="0"/>
          <w:numId w:val="6"/>
        </w:numPr>
        <w:jc w:val="both"/>
      </w:pPr>
      <w:r w:rsidRPr="00B11AF9">
        <w:t>(ii) Ausencia de estadísticas sobre eventos adversos cardiovasculares o de mortalidad como indicadores de resultado, o datos incompletos.</w:t>
      </w:r>
    </w:p>
    <w:p w14:paraId="5B8F7A21" w14:textId="77777777" w:rsidR="00B11AF9" w:rsidRPr="00B11AF9" w:rsidRDefault="00B11AF9" w:rsidP="00B11AF9">
      <w:pPr>
        <w:pStyle w:val="Sinespaciado"/>
        <w:numPr>
          <w:ilvl w:val="0"/>
          <w:numId w:val="6"/>
        </w:numPr>
        <w:jc w:val="both"/>
      </w:pPr>
      <w:r w:rsidRPr="00B11AF9">
        <w:t>(iii) Pacientes con disfunción hepática o renal severa, signos vitales inestables, alcoholismo crónico u otras condiciones que pudieran afectar los resultados.</w:t>
      </w:r>
    </w:p>
    <w:p w14:paraId="2A4D338F" w14:textId="77777777" w:rsidR="00B11AF9" w:rsidRPr="00B11AF9" w:rsidRDefault="00B11AF9" w:rsidP="00B11AF9">
      <w:pPr>
        <w:pStyle w:val="Sinespaciado"/>
        <w:numPr>
          <w:ilvl w:val="0"/>
          <w:numId w:val="6"/>
        </w:numPr>
        <w:jc w:val="both"/>
      </w:pPr>
      <w:r w:rsidRPr="00B11AF9">
        <w:t>(iv) Pacientes con gota secundaria.</w:t>
      </w:r>
    </w:p>
    <w:p w14:paraId="6EBFBA2E" w14:textId="77777777" w:rsidR="00B11AF9" w:rsidRPr="00B11AF9" w:rsidRDefault="00B11AF9" w:rsidP="00B11AF9">
      <w:pPr>
        <w:pStyle w:val="Sinespaciado"/>
        <w:jc w:val="both"/>
      </w:pPr>
      <w:r w:rsidRPr="00B11AF9">
        <w:t>Gao LG y Bin Wang examinaron los títulos, resúmenes y texto completo de los artículos identificados, y evaluaron el riesgo de sesgo.</w:t>
      </w:r>
    </w:p>
    <w:p w14:paraId="4C56709E" w14:textId="77777777" w:rsidR="00B11AF9" w:rsidRPr="00B11AF9" w:rsidRDefault="00B11AF9" w:rsidP="00B11AF9">
      <w:pPr>
        <w:pStyle w:val="Sinespaciado"/>
        <w:jc w:val="both"/>
      </w:pPr>
      <w:r w:rsidRPr="00B11AF9">
        <w:t>De las 240 publicaciones identificadas inicialmente, se descartaron 224, aunque habían sido halladas mediante los términos de búsqueda. También fueron descartadas porque incluían pacientes con hiperuricemia aguda o secundaria (por ejemplo, enfermedad renal en etapa terminal). Finalmente, se eligieron 14 publicaciones para el metaanálisis.</w:t>
      </w:r>
    </w:p>
    <w:p w14:paraId="2B2B4B9F" w14:textId="77777777" w:rsidR="00B11AF9" w:rsidRPr="00B11AF9" w:rsidRDefault="00B11AF9" w:rsidP="00B11AF9">
      <w:pPr>
        <w:pStyle w:val="Sinespaciado"/>
        <w:jc w:val="both"/>
        <w:rPr>
          <w:b/>
          <w:bCs/>
        </w:rPr>
      </w:pPr>
      <w:r w:rsidRPr="00B11AF9">
        <w:rPr>
          <w:b/>
          <w:bCs/>
        </w:rPr>
        <w:t>2.2 | Grupos de estudio y evaluación clínica</w:t>
      </w:r>
    </w:p>
    <w:p w14:paraId="3700CDA8" w14:textId="77777777" w:rsidR="00B11AF9" w:rsidRPr="00B11AF9" w:rsidRDefault="00B11AF9" w:rsidP="00B11AF9">
      <w:pPr>
        <w:pStyle w:val="Sinespaciado"/>
        <w:jc w:val="both"/>
      </w:pPr>
      <w:r w:rsidRPr="00B11AF9">
        <w:t>La población del estudio en este metaanálisis consistió en 257,851 pacientes.</w:t>
      </w:r>
      <w:r w:rsidRPr="00B11AF9">
        <w:br/>
        <w:t>Los pacientes fueron categorizados según el tratamiento recibido: febuxostat o alopurinol.</w:t>
      </w:r>
      <w:r w:rsidRPr="00B11AF9">
        <w:br/>
        <w:t>Los detalles sobre la intervención farmacológica se presentan en la Tabla 1. Todos los pacientes fueron sometidos a evaluaciones clínicas completas y cumplían los criterios diagnósticos.</w:t>
      </w:r>
    </w:p>
    <w:p w14:paraId="34DE7708" w14:textId="77777777" w:rsidR="00B11AF9" w:rsidRPr="00B11AF9" w:rsidRDefault="00B11AF9" w:rsidP="00B11AF9">
      <w:pPr>
        <w:pStyle w:val="Sinespaciado"/>
        <w:jc w:val="both"/>
      </w:pPr>
      <w:r w:rsidRPr="00B11AF9">
        <w:t>Se seleccionaron los desenlaces mayores de cada ensayo, los cuales incluían:</w:t>
      </w:r>
    </w:p>
    <w:p w14:paraId="55892EF1" w14:textId="77777777" w:rsidR="00B11AF9" w:rsidRPr="00B11AF9" w:rsidRDefault="00B11AF9" w:rsidP="00B11AF9">
      <w:pPr>
        <w:pStyle w:val="Sinespaciado"/>
        <w:numPr>
          <w:ilvl w:val="0"/>
          <w:numId w:val="7"/>
        </w:numPr>
        <w:jc w:val="both"/>
      </w:pPr>
      <w:r w:rsidRPr="00B11AF9">
        <w:t>Mortalidad relacionada con causas cardiovasculares,</w:t>
      </w:r>
    </w:p>
    <w:p w14:paraId="0ADAC6DE" w14:textId="77777777" w:rsidR="00B11AF9" w:rsidRPr="00B11AF9" w:rsidRDefault="00B11AF9" w:rsidP="00B11AF9">
      <w:pPr>
        <w:pStyle w:val="Sinespaciado"/>
        <w:numPr>
          <w:ilvl w:val="0"/>
          <w:numId w:val="7"/>
        </w:numPr>
        <w:jc w:val="both"/>
      </w:pPr>
      <w:r w:rsidRPr="00B11AF9">
        <w:t>Eventos vasculares mayores (infarto de miocardio u otro síndrome coronario agudo, revascularización coronaria o accidente cerebrovascular, etc.),</w:t>
      </w:r>
    </w:p>
    <w:p w14:paraId="060BFB08" w14:textId="77777777" w:rsidR="00B11AF9" w:rsidRPr="00B11AF9" w:rsidRDefault="00B11AF9" w:rsidP="00B11AF9">
      <w:pPr>
        <w:pStyle w:val="Sinespaciado"/>
        <w:numPr>
          <w:ilvl w:val="0"/>
          <w:numId w:val="7"/>
        </w:numPr>
        <w:jc w:val="both"/>
      </w:pPr>
      <w:r w:rsidRPr="00B11AF9">
        <w:t>Mortalidad por cualquier causa.</w:t>
      </w:r>
    </w:p>
    <w:p w14:paraId="14AA2738" w14:textId="77777777" w:rsidR="00B11AF9" w:rsidRPr="00B11AF9" w:rsidRDefault="00B11AF9" w:rsidP="00B11AF9">
      <w:pPr>
        <w:pStyle w:val="Sinespaciado"/>
        <w:jc w:val="both"/>
        <w:rPr>
          <w:b/>
          <w:bCs/>
        </w:rPr>
      </w:pPr>
      <w:r w:rsidRPr="00B11AF9">
        <w:rPr>
          <w:b/>
          <w:bCs/>
        </w:rPr>
        <w:t>2.3 | Extracción de datos</w:t>
      </w:r>
    </w:p>
    <w:p w14:paraId="5EAF437E" w14:textId="77777777" w:rsidR="00B11AF9" w:rsidRPr="00B11AF9" w:rsidRDefault="00B11AF9" w:rsidP="00B11AF9">
      <w:pPr>
        <w:pStyle w:val="Sinespaciado"/>
        <w:jc w:val="both"/>
      </w:pPr>
      <w:r w:rsidRPr="00B11AF9">
        <w:t>Dos autores (L.G. y B.W.) evaluaron y extrajeron de forma independiente los ensayos relevantes que cumplían con los criterios estándar predefinidos.</w:t>
      </w:r>
      <w:r w:rsidRPr="00B11AF9">
        <w:br/>
        <w:t>Las discrepancias fueron identificadas computacionalmente y revisadas de forma independiente.</w:t>
      </w:r>
      <w:r w:rsidRPr="00B11AF9">
        <w:br/>
        <w:t>Si no se podía extraer o calcular con confianza la información de un artículo, no se incluía.</w:t>
      </w:r>
      <w:r w:rsidRPr="00B11AF9">
        <w:br/>
        <w:t>Cualquier diferencia entre los revisores se resolvió por consenso.</w:t>
      </w:r>
      <w:r w:rsidRPr="00B11AF9">
        <w:br/>
        <w:t>Se utilizó un formulario de extracción de datos para recolectar la siguiente información:</w:t>
      </w:r>
    </w:p>
    <w:p w14:paraId="04BD22CD" w14:textId="77777777" w:rsidR="00B11AF9" w:rsidRPr="00B11AF9" w:rsidRDefault="00B11AF9" w:rsidP="00B11AF9">
      <w:pPr>
        <w:pStyle w:val="Sinespaciado"/>
        <w:numPr>
          <w:ilvl w:val="0"/>
          <w:numId w:val="8"/>
        </w:numPr>
        <w:jc w:val="both"/>
      </w:pPr>
      <w:r w:rsidRPr="00B11AF9">
        <w:t>(i) Autores, lugar y fechas del estudio;</w:t>
      </w:r>
    </w:p>
    <w:p w14:paraId="66ECC6C5" w14:textId="77777777" w:rsidR="00B11AF9" w:rsidRPr="00B11AF9" w:rsidRDefault="00B11AF9" w:rsidP="00B11AF9">
      <w:pPr>
        <w:pStyle w:val="Sinespaciado"/>
        <w:numPr>
          <w:ilvl w:val="0"/>
          <w:numId w:val="8"/>
        </w:numPr>
        <w:jc w:val="both"/>
      </w:pPr>
      <w:r w:rsidRPr="00B11AF9">
        <w:lastRenderedPageBreak/>
        <w:t>(ii) Número y edad de los participantes;</w:t>
      </w:r>
    </w:p>
    <w:p w14:paraId="24926B87" w14:textId="77777777" w:rsidR="00B11AF9" w:rsidRPr="00B11AF9" w:rsidRDefault="00B11AF9" w:rsidP="00B11AF9">
      <w:pPr>
        <w:pStyle w:val="Sinespaciado"/>
        <w:numPr>
          <w:ilvl w:val="0"/>
          <w:numId w:val="8"/>
        </w:numPr>
        <w:jc w:val="both"/>
      </w:pPr>
      <w:r w:rsidRPr="00B11AF9">
        <w:t>(iii) Diseño del estudio;</w:t>
      </w:r>
    </w:p>
    <w:p w14:paraId="2033EC77" w14:textId="77777777" w:rsidR="00B11AF9" w:rsidRPr="00B11AF9" w:rsidRDefault="00B11AF9" w:rsidP="00B11AF9">
      <w:pPr>
        <w:pStyle w:val="Sinespaciado"/>
        <w:numPr>
          <w:ilvl w:val="0"/>
          <w:numId w:val="8"/>
        </w:numPr>
        <w:jc w:val="both"/>
      </w:pPr>
      <w:r w:rsidRPr="00B11AF9">
        <w:t>(iv) Comorbilidades;</w:t>
      </w:r>
    </w:p>
    <w:p w14:paraId="03036395" w14:textId="77777777" w:rsidR="00B11AF9" w:rsidRPr="00B11AF9" w:rsidRDefault="00B11AF9" w:rsidP="00B11AF9">
      <w:pPr>
        <w:pStyle w:val="Sinespaciado"/>
        <w:numPr>
          <w:ilvl w:val="0"/>
          <w:numId w:val="8"/>
        </w:numPr>
        <w:jc w:val="both"/>
      </w:pPr>
      <w:r w:rsidRPr="00B11AF9">
        <w:t>(v) Detalles del tratamiento;</w:t>
      </w:r>
    </w:p>
    <w:p w14:paraId="340FF025" w14:textId="77777777" w:rsidR="00B11AF9" w:rsidRPr="00B11AF9" w:rsidRDefault="00B11AF9" w:rsidP="00B11AF9">
      <w:pPr>
        <w:pStyle w:val="Sinespaciado"/>
        <w:numPr>
          <w:ilvl w:val="0"/>
          <w:numId w:val="8"/>
        </w:numPr>
        <w:jc w:val="both"/>
      </w:pPr>
      <w:r w:rsidRPr="00B11AF9">
        <w:t>(vi) Tiempo de seguimiento;</w:t>
      </w:r>
    </w:p>
    <w:p w14:paraId="627C8AF1" w14:textId="77777777" w:rsidR="00B11AF9" w:rsidRDefault="00B11AF9" w:rsidP="00B11AF9">
      <w:pPr>
        <w:pStyle w:val="Sinespaciado"/>
        <w:numPr>
          <w:ilvl w:val="0"/>
          <w:numId w:val="8"/>
        </w:numPr>
        <w:jc w:val="both"/>
      </w:pPr>
      <w:r w:rsidRPr="00B11AF9">
        <w:t>(vii) Resultados clínicos.</w:t>
      </w:r>
    </w:p>
    <w:p w14:paraId="68C9E797" w14:textId="77777777" w:rsidR="00B11AF9" w:rsidRPr="00B11AF9" w:rsidRDefault="00B11AF9" w:rsidP="00B11AF9">
      <w:pPr>
        <w:pStyle w:val="Sinespaciado"/>
        <w:ind w:left="720"/>
        <w:jc w:val="both"/>
      </w:pPr>
    </w:p>
    <w:p w14:paraId="5EEB25AD" w14:textId="77777777" w:rsidR="00B11AF9" w:rsidRPr="00B11AF9" w:rsidRDefault="00B11AF9" w:rsidP="00B11AF9">
      <w:pPr>
        <w:pStyle w:val="Sinespaciado"/>
        <w:jc w:val="both"/>
        <w:rPr>
          <w:b/>
          <w:bCs/>
        </w:rPr>
      </w:pPr>
      <w:r w:rsidRPr="00B11AF9">
        <w:rPr>
          <w:b/>
          <w:bCs/>
        </w:rPr>
        <w:t>2.4 | Análisis estadístico</w:t>
      </w:r>
    </w:p>
    <w:p w14:paraId="7E114DC9" w14:textId="77777777" w:rsidR="00B11AF9" w:rsidRPr="00B11AF9" w:rsidRDefault="00B11AF9" w:rsidP="00B11AF9">
      <w:pPr>
        <w:pStyle w:val="Sinespaciado"/>
        <w:jc w:val="both"/>
      </w:pPr>
      <w:r w:rsidRPr="00B11AF9">
        <w:t>La heterogeneidad entre los estudios incluidos fue examinada mediante la prueba de chi-cuadrado de Cochran (p &lt; 0.1).</w:t>
      </w:r>
      <w:r w:rsidRPr="00B11AF9">
        <w:br/>
        <w:t>También se evaluó la estadística I²; se consideró que un I² &gt; 50% indicaba una heterogeneidad significativa entre los ensayos.</w:t>
      </w:r>
    </w:p>
    <w:p w14:paraId="78E22674" w14:textId="77777777" w:rsidR="00B11AF9" w:rsidRPr="00B11AF9" w:rsidRDefault="00B11AF9" w:rsidP="00B11AF9">
      <w:pPr>
        <w:pStyle w:val="Sinespaciado"/>
        <w:jc w:val="both"/>
      </w:pPr>
      <w:r w:rsidRPr="00B11AF9">
        <w:t>El sesgo de publicación se evaluó utilizando tanto el gráfico en embudo de Begg como el de Egger.</w:t>
      </w:r>
      <w:r w:rsidRPr="00B11AF9">
        <w:br/>
        <w:t>Se utilizó el modelo de efectos fijos de Mantel–Haenszel o el modelo de efectos aleatorios para el metaanálisis de la eficacia y seguridad cardiovascular, así como de los eventos finales entre el grupo tratado con febuxostat y el grupo tratado con alopurinol.</w:t>
      </w:r>
    </w:p>
    <w:p w14:paraId="16EA3BE2" w14:textId="77777777" w:rsidR="00B11AF9" w:rsidRPr="00B11AF9" w:rsidRDefault="00B11AF9" w:rsidP="00B11AF9">
      <w:pPr>
        <w:pStyle w:val="Sinespaciado"/>
        <w:jc w:val="both"/>
      </w:pPr>
      <w:r w:rsidRPr="00B11AF9">
        <w:t>Los análisis estadísticos se realizaron con Review Manager 5.0.</w:t>
      </w:r>
      <w:r w:rsidRPr="00B11AF9">
        <w:br/>
        <w:t>Se consideraron estadísticamente significativos los valores de p menores a 0.05. Todas las pruebas estadísticas fueron bilaterales.</w:t>
      </w:r>
    </w:p>
    <w:p w14:paraId="33081DCD" w14:textId="77777777" w:rsidR="00B11AF9" w:rsidRPr="00B11AF9" w:rsidRDefault="00B11AF9" w:rsidP="00B11AF9">
      <w:pPr>
        <w:pStyle w:val="Sinespaciado"/>
        <w:jc w:val="both"/>
      </w:pPr>
      <w:r w:rsidRPr="00B11AF9">
        <w:t>Para examinar la seguridad cardiovascular e identificar la posible fuente de heterogeneidad entre los estudios, se realizaron análisis por subgrupos previamente definidos (edad, población y diseño del estudio).</w:t>
      </w:r>
    </w:p>
    <w:p w14:paraId="31045A76" w14:textId="77777777" w:rsidR="00B11AF9" w:rsidRDefault="00B11AF9" w:rsidP="00B11AF9">
      <w:pPr>
        <w:pStyle w:val="Sinespaciado"/>
        <w:jc w:val="both"/>
      </w:pPr>
    </w:p>
    <w:p w14:paraId="48C89C06" w14:textId="77777777" w:rsidR="00B11AF9" w:rsidRPr="00B11AF9" w:rsidRDefault="00B11AF9" w:rsidP="00B11AF9">
      <w:pPr>
        <w:pStyle w:val="Sinespaciado"/>
        <w:jc w:val="both"/>
        <w:rPr>
          <w:b/>
          <w:bCs/>
        </w:rPr>
      </w:pPr>
      <w:r w:rsidRPr="00B11AF9">
        <w:rPr>
          <w:b/>
          <w:bCs/>
        </w:rPr>
        <w:t>3 | RESULTADOS</w:t>
      </w:r>
    </w:p>
    <w:p w14:paraId="53166FD7" w14:textId="77777777" w:rsidR="00B11AF9" w:rsidRPr="00B11AF9" w:rsidRDefault="00B11AF9" w:rsidP="00B11AF9">
      <w:pPr>
        <w:pStyle w:val="Sinespaciado"/>
        <w:jc w:val="both"/>
        <w:rPr>
          <w:b/>
          <w:bCs/>
        </w:rPr>
      </w:pPr>
      <w:r w:rsidRPr="00B11AF9">
        <w:rPr>
          <w:b/>
          <w:bCs/>
        </w:rPr>
        <w:t>3.1 | Resultados de la búsqueda bibliográfica</w:t>
      </w:r>
    </w:p>
    <w:p w14:paraId="1ECD66E5" w14:textId="77777777" w:rsidR="00B11AF9" w:rsidRPr="00B11AF9" w:rsidRDefault="00B11AF9" w:rsidP="00B11AF9">
      <w:pPr>
        <w:pStyle w:val="Sinespaciado"/>
        <w:jc w:val="both"/>
      </w:pPr>
      <w:r w:rsidRPr="00B11AF9">
        <w:t>Inicialmente, se identificaron 240 artículos a partir de las bases de datos PubMed, EMBASE y la Biblioteca Cochrane.</w:t>
      </w:r>
      <w:r w:rsidRPr="00B11AF9">
        <w:br/>
        <w:t>Según los criterios de selección predefinidos, se excluyeron 224 artículos por diversas razones (ver Figura 1).</w:t>
      </w:r>
      <w:r w:rsidRPr="00B11AF9">
        <w:br/>
        <w:t>Como resultado, 16 ensayos clínicos que incluían a 257,851 sujetos cumplieron todos los criterios de inclusión y se incluyeron en el metaanálisis.</w:t>
      </w:r>
      <w:r w:rsidRPr="00B11AF9">
        <w:br/>
        <w:t>Los datos demográficos de los pacientes se muestran en la Tabla 1.</w:t>
      </w:r>
    </w:p>
    <w:p w14:paraId="48F12639" w14:textId="77777777" w:rsidR="00B11AF9" w:rsidRPr="00B11AF9" w:rsidRDefault="00B11AF9" w:rsidP="00B11AF9">
      <w:pPr>
        <w:pStyle w:val="Sinespaciado"/>
        <w:jc w:val="both"/>
      </w:pPr>
      <w:r w:rsidRPr="00B11AF9">
        <w:t>Entre los usuarios de febuxostat, la edad media osciló entre 45.5 y 76.0 años, y entre el 52.3% y 98.8% eran hombres.</w:t>
      </w:r>
      <w:r w:rsidRPr="00B11AF9">
        <w:br/>
        <w:t>Entre los usuarios de alopurinol, la edad media osciló entre 65.0 y 76.0 años, y entre el 52.3% y 98.3% eran hombres.</w:t>
      </w:r>
      <w:r w:rsidRPr="00B11AF9">
        <w:br/>
        <w:t>En ambos grupos, entre el 1.3% y el 58.2% tenían antecedentes de enfermedad coronaria al inicio del estudio.</w:t>
      </w:r>
      <w:r w:rsidRPr="00B11AF9">
        <w:br/>
        <w:t>La hipertensión (12.5%–100%), hiperlipidemia (2.91%–96.8%) y diabetes (3.2%–55.2%) fueron comorbilidades comunes en ambos grupos.</w:t>
      </w:r>
    </w:p>
    <w:p w14:paraId="66543A09" w14:textId="77777777" w:rsidR="00B11AF9" w:rsidRPr="00B11AF9" w:rsidRDefault="00B11AF9" w:rsidP="00B11AF9">
      <w:pPr>
        <w:pStyle w:val="Sinespaciado"/>
        <w:jc w:val="both"/>
        <w:rPr>
          <w:b/>
          <w:bCs/>
        </w:rPr>
      </w:pPr>
      <w:r w:rsidRPr="00B11AF9">
        <w:rPr>
          <w:b/>
          <w:bCs/>
        </w:rPr>
        <w:t>3.2 | Efecto del tratamiento con febuxostat vs. alopurinol en los eventos clínicos</w:t>
      </w:r>
    </w:p>
    <w:p w14:paraId="48436999" w14:textId="77777777" w:rsidR="00B11AF9" w:rsidRPr="00B11AF9" w:rsidRDefault="00B11AF9" w:rsidP="00B11AF9">
      <w:pPr>
        <w:pStyle w:val="Sinespaciado"/>
        <w:jc w:val="both"/>
      </w:pPr>
      <w:r w:rsidRPr="00B11AF9">
        <w:lastRenderedPageBreak/>
        <w:t>Comparado con el grupo tratado con alopurinol, el grupo tratado con febuxostat mostró un mejor resultado de seguridad, el cual fue una combinación de revascularización coronaria urgente (OR: 0.84; IC 95%: 0.77–0.90; p &lt; 0.0001) y accidente cerebrovascular (OR: 0.87; IC 95%: 0.79–0.97; p = 0.009).</w:t>
      </w:r>
    </w:p>
    <w:p w14:paraId="5D36F5DC" w14:textId="77777777" w:rsidR="00B11AF9" w:rsidRPr="00B11AF9" w:rsidRDefault="00B11AF9" w:rsidP="00B11AF9">
      <w:pPr>
        <w:pStyle w:val="Sinespaciado"/>
        <w:jc w:val="both"/>
      </w:pPr>
      <w:r w:rsidRPr="00B11AF9">
        <w:t>Sin embargo, esa diferencia no se observó en los siguientes eventos:</w:t>
      </w:r>
    </w:p>
    <w:p w14:paraId="2082EC9D" w14:textId="77777777" w:rsidR="00B11AF9" w:rsidRPr="00B11AF9" w:rsidRDefault="00B11AF9" w:rsidP="00B11AF9">
      <w:pPr>
        <w:pStyle w:val="Sinespaciado"/>
        <w:numPr>
          <w:ilvl w:val="0"/>
          <w:numId w:val="9"/>
        </w:numPr>
        <w:jc w:val="both"/>
      </w:pPr>
      <w:r w:rsidRPr="00B11AF9">
        <w:t>Infarto de miocardio no fatal (OR: 0.98; IC 95%: 0.80–1.22; p = 0.91),</w:t>
      </w:r>
    </w:p>
    <w:p w14:paraId="59BC07E5" w14:textId="77777777" w:rsidR="00B11AF9" w:rsidRPr="00B11AF9" w:rsidRDefault="00B11AF9" w:rsidP="00B11AF9">
      <w:pPr>
        <w:pStyle w:val="Sinespaciado"/>
        <w:numPr>
          <w:ilvl w:val="0"/>
          <w:numId w:val="9"/>
        </w:numPr>
        <w:jc w:val="both"/>
      </w:pPr>
      <w:r w:rsidRPr="00B11AF9">
        <w:t>Mortalidad relacionada con causas cardiovasculares (OR: 0.98; IC 95%: 0.69–1.38; p = 0.89),</w:t>
      </w:r>
    </w:p>
    <w:p w14:paraId="1D87B343" w14:textId="77777777" w:rsidR="00B11AF9" w:rsidRPr="00B11AF9" w:rsidRDefault="00B11AF9" w:rsidP="00B11AF9">
      <w:pPr>
        <w:pStyle w:val="Sinespaciado"/>
        <w:numPr>
          <w:ilvl w:val="0"/>
          <w:numId w:val="9"/>
        </w:numPr>
        <w:jc w:val="both"/>
      </w:pPr>
      <w:r w:rsidRPr="00B11AF9">
        <w:t>Mortalidad por cualquier causa (OR: 0.93; IC 95%: 0.75–1.15; p = 0.52).</w:t>
      </w:r>
    </w:p>
    <w:p w14:paraId="79F4C75C" w14:textId="77777777" w:rsidR="00B11AF9" w:rsidRPr="00B11AF9" w:rsidRDefault="00B11AF9" w:rsidP="00B11AF9">
      <w:pPr>
        <w:pStyle w:val="Sinespaciado"/>
        <w:jc w:val="both"/>
      </w:pPr>
      <w:r w:rsidRPr="00B11AF9">
        <w:t>El gráfico de embudo de Begg indicó que no hubo evidencia fuerte de sesgo de publicación.</w:t>
      </w:r>
    </w:p>
    <w:p w14:paraId="3E911333" w14:textId="77777777" w:rsidR="00B11AF9" w:rsidRPr="00B11AF9" w:rsidRDefault="00B11AF9" w:rsidP="00B11AF9">
      <w:pPr>
        <w:pStyle w:val="Sinespaciado"/>
        <w:jc w:val="both"/>
        <w:rPr>
          <w:b/>
          <w:bCs/>
        </w:rPr>
      </w:pPr>
      <w:r w:rsidRPr="00B11AF9">
        <w:rPr>
          <w:b/>
          <w:bCs/>
        </w:rPr>
        <w:t>3.3 | Resultados del análisis por subgrupos</w:t>
      </w:r>
    </w:p>
    <w:p w14:paraId="5E9A7241" w14:textId="77777777" w:rsidR="00B11AF9" w:rsidRPr="00B11AF9" w:rsidRDefault="00B11AF9" w:rsidP="00B11AF9">
      <w:pPr>
        <w:pStyle w:val="Sinespaciado"/>
        <w:jc w:val="both"/>
      </w:pPr>
      <w:r w:rsidRPr="00B11AF9">
        <w:t>Para aclarar la heterogeneidad, se realizaron análisis por subgrupos (ver Tabla 2).</w:t>
      </w:r>
      <w:r w:rsidRPr="00B11AF9">
        <w:br/>
        <w:t>Comparado con el grupo tratado con alopurinol, los análisis por subgrupos según la edad, la población y el diseño del estudio mostraron que el tratamiento con febuxostat podría reducir significativamente la incidencia de accidentes cerebrovasculares en los siguientes grupos:</w:t>
      </w:r>
    </w:p>
    <w:p w14:paraId="661E0293" w14:textId="77777777" w:rsidR="00B11AF9" w:rsidRPr="00B11AF9" w:rsidRDefault="00B11AF9" w:rsidP="00B11AF9">
      <w:pPr>
        <w:pStyle w:val="Sinespaciado"/>
        <w:numPr>
          <w:ilvl w:val="0"/>
          <w:numId w:val="10"/>
        </w:numPr>
        <w:jc w:val="both"/>
      </w:pPr>
      <w:r w:rsidRPr="00B11AF9">
        <w:t>Pacientes ≥ 65 años (OR: 0.88; IC 95%: 0.79–0.99; p = 0.03)</w:t>
      </w:r>
    </w:p>
    <w:p w14:paraId="2855AEE0" w14:textId="77777777" w:rsidR="00B11AF9" w:rsidRPr="00B11AF9" w:rsidRDefault="00B11AF9" w:rsidP="00B11AF9">
      <w:pPr>
        <w:pStyle w:val="Sinespaciado"/>
        <w:numPr>
          <w:ilvl w:val="0"/>
          <w:numId w:val="10"/>
        </w:numPr>
        <w:jc w:val="both"/>
      </w:pPr>
      <w:r w:rsidRPr="00B11AF9">
        <w:t>Población blanca (≥ 70%) (OR: 0.88; IC 95%: 0.79–0.99; p = 0.04)</w:t>
      </w:r>
    </w:p>
    <w:p w14:paraId="7A22894F" w14:textId="77777777" w:rsidR="00B11AF9" w:rsidRPr="00B11AF9" w:rsidRDefault="00B11AF9" w:rsidP="00B11AF9">
      <w:pPr>
        <w:pStyle w:val="Sinespaciado"/>
        <w:numPr>
          <w:ilvl w:val="0"/>
          <w:numId w:val="10"/>
        </w:numPr>
        <w:jc w:val="both"/>
      </w:pPr>
      <w:r w:rsidRPr="00B11AF9">
        <w:t>Estudios tipo cohorte (OR: 0.87; IC 95%: 0.78–0.98; p = 0.04)</w:t>
      </w:r>
    </w:p>
    <w:p w14:paraId="19FA95E9" w14:textId="77777777" w:rsidR="00B11AF9" w:rsidRPr="00B11AF9" w:rsidRDefault="00B11AF9" w:rsidP="00B11AF9">
      <w:pPr>
        <w:pStyle w:val="Sinespaciado"/>
        <w:jc w:val="both"/>
      </w:pPr>
      <w:r w:rsidRPr="00B11AF9">
        <w:t>Los análisis por población también mostraron que el tratamiento con febuxostat redujo significativamente la incidencia de infarto de miocardio no fatal en pacientes de raza blanca (OR: 0.87; IC 95%: 0.79–0.96; p = 0.007).</w:t>
      </w:r>
    </w:p>
    <w:p w14:paraId="3D55C903" w14:textId="77777777" w:rsidR="00B11AF9" w:rsidRPr="00B11AF9" w:rsidRDefault="00B11AF9" w:rsidP="00B11AF9">
      <w:pPr>
        <w:pStyle w:val="Sinespaciado"/>
        <w:jc w:val="both"/>
      </w:pPr>
      <w:r w:rsidRPr="00B11AF9">
        <w:t>No se observaron diferencias significativas en la mortalidad cardiovascular ni en la mortalidad por cualquier causa en ninguno de los subgrupos.</w:t>
      </w:r>
    </w:p>
    <w:p w14:paraId="6F2EB62C" w14:textId="77777777" w:rsidR="00B11AF9" w:rsidRDefault="00B11AF9" w:rsidP="00B11AF9">
      <w:pPr>
        <w:pStyle w:val="Sinespaciado"/>
        <w:jc w:val="both"/>
      </w:pPr>
    </w:p>
    <w:p w14:paraId="1C05D9CF" w14:textId="77777777" w:rsidR="00B11AF9" w:rsidRDefault="00B11AF9" w:rsidP="00B11AF9">
      <w:pPr>
        <w:pStyle w:val="Sinespaciado"/>
        <w:jc w:val="both"/>
      </w:pPr>
    </w:p>
    <w:p w14:paraId="5544E5E0" w14:textId="77777777" w:rsidR="00B11AF9" w:rsidRPr="00B11AF9" w:rsidRDefault="00B11AF9" w:rsidP="00B11AF9">
      <w:pPr>
        <w:pStyle w:val="Sinespaciado"/>
        <w:jc w:val="both"/>
        <w:rPr>
          <w:b/>
          <w:bCs/>
        </w:rPr>
      </w:pPr>
      <w:r w:rsidRPr="00B11AF9">
        <w:rPr>
          <w:b/>
          <w:bCs/>
        </w:rPr>
        <w:t>4 | DISCUSIÓN</w:t>
      </w:r>
    </w:p>
    <w:p w14:paraId="4F33B4A4" w14:textId="77777777" w:rsidR="00B11AF9" w:rsidRPr="00B11AF9" w:rsidRDefault="00B11AF9" w:rsidP="00B11AF9">
      <w:pPr>
        <w:pStyle w:val="Sinespaciado"/>
        <w:jc w:val="both"/>
      </w:pPr>
      <w:r w:rsidRPr="00B11AF9">
        <w:t>El presente estudio sugiere que, en comparación con el alopurinol, el uso de febuxostat resulta en una reducción significativa en los riesgos de revascularización coronaria urgente y accidente cerebrovascular.</w:t>
      </w:r>
      <w:r w:rsidRPr="00B11AF9">
        <w:br/>
        <w:t>El inicio del tratamiento con febuxostat no aumentó el riesgo de infarto de miocardio no fatal, mortalidad relacionada con causas cardiovasculares ni mortalidad por cualquier causa.</w:t>
      </w:r>
      <w:r w:rsidRPr="00B11AF9">
        <w:br/>
        <w:t>Los análisis por subgrupos, según la edad, la población y el diseño del estudio, mostraron que el tratamiento con febuxostat podría reducir significativamente la ocurrencia de accidente cerebrovascular en pacientes de edad ≥ 65 años y en población blanca (≥ 70%).</w:t>
      </w:r>
    </w:p>
    <w:p w14:paraId="0DA5D17F" w14:textId="77777777" w:rsidR="00B11AF9" w:rsidRPr="00B11AF9" w:rsidRDefault="00B11AF9" w:rsidP="00B11AF9">
      <w:pPr>
        <w:pStyle w:val="Sinespaciado"/>
        <w:jc w:val="both"/>
      </w:pPr>
      <w:r w:rsidRPr="00B11AF9">
        <w:t>El febuxostat es un fármaco reductor de ácido úrico que ha sido aprobado para el manejo de la gota por la EMA, la FDA de los Estados Unidos y la FDA de China.</w:t>
      </w:r>
      <w:r w:rsidRPr="00B11AF9">
        <w:br/>
        <w:t>El estudio CARES informó un aumento en el riesgo de muerte en pacientes del grupo de febuxostat, lo que llevó a la FDA a modificar su estatus de aprobación para que se use solo como medicamento de segunda línea para reducir ácido úrico.</w:t>
      </w:r>
    </w:p>
    <w:p w14:paraId="2D62A76A" w14:textId="77777777" w:rsidR="00B11AF9" w:rsidRPr="00B11AF9" w:rsidRDefault="00B11AF9" w:rsidP="00B11AF9">
      <w:pPr>
        <w:pStyle w:val="Sinespaciado"/>
        <w:jc w:val="both"/>
      </w:pPr>
      <w:r w:rsidRPr="00B11AF9">
        <w:lastRenderedPageBreak/>
        <w:t>En contraste, varios ensayos clínicos recientes no respaldan la afirmación de un aumento en la mortalidad por cualquier causa ni en el riesgo cardiovascular asociado al febuxostat.</w:t>
      </w:r>
      <w:r w:rsidRPr="00B11AF9">
        <w:br/>
        <w:t>Nuestro metaanálisis encontró que los usuarios de febuxostat no presentaron un riesgo significativamente diferente de eventos cardiovasculares ni de mortalidad por cualquier causa en comparación con los usuarios de alopurinol.</w:t>
      </w:r>
    </w:p>
    <w:p w14:paraId="3CBD62C7" w14:textId="77777777" w:rsidR="00B11AF9" w:rsidRPr="00B11AF9" w:rsidRDefault="00B11AF9" w:rsidP="00B11AF9">
      <w:pPr>
        <w:pStyle w:val="Sinespaciado"/>
        <w:jc w:val="both"/>
      </w:pPr>
      <w:r w:rsidRPr="00B11AF9">
        <w:t>Los adultos mayores tienen mayores tasas de eventos cardiovasculares mayores, presencia de múltiples enfermedades, múltiples síndromes, uso de múltiples medicamentos y una disminución natural en la función corporal. La gota afecta actualmente a muchos pacientes mayores.</w:t>
      </w:r>
    </w:p>
    <w:p w14:paraId="48833AE4" w14:textId="77777777" w:rsidR="00B11AF9" w:rsidRPr="00B11AF9" w:rsidRDefault="00B11AF9" w:rsidP="00B11AF9">
      <w:pPr>
        <w:pStyle w:val="Sinespaciado"/>
        <w:jc w:val="both"/>
      </w:pPr>
      <w:r w:rsidRPr="00B11AF9">
        <w:t>El febuxostat tiene efectos mínimos sobre otras enzimas implicadas en el metabolismo de purinas y pirimidinas, y es metabolizado principalmente por glucuronidación y oxidación en el hígado.</w:t>
      </w:r>
      <w:r w:rsidRPr="00B11AF9">
        <w:br/>
        <w:t>Según los datos clínicos disponibles, el febuxostat ha demostrado ser seguro y puede utilizarse en pacientes con hipersensibilidad al alopurinol y con insuficiencia renal.</w:t>
      </w:r>
    </w:p>
    <w:p w14:paraId="6D772B6B" w14:textId="77777777" w:rsidR="00B11AF9" w:rsidRPr="00B11AF9" w:rsidRDefault="00B11AF9" w:rsidP="00B11AF9">
      <w:pPr>
        <w:pStyle w:val="Sinespaciado"/>
        <w:jc w:val="both"/>
      </w:pPr>
      <w:r w:rsidRPr="00B11AF9">
        <w:t>Desde la introducción del febuxostat en la práctica clínica, se han realizado numerosos metaanálisis sobre su efectividad y seguridad en comparación con el alopurinol para tratar la gota.</w:t>
      </w:r>
      <w:r w:rsidRPr="00B11AF9">
        <w:br/>
        <w:t>Los eventos cardiovasculares han sido una preocupación importante asociada con el tratamiento con febuxostat.</w:t>
      </w:r>
    </w:p>
    <w:p w14:paraId="0FC9ABF9" w14:textId="77777777" w:rsidR="00B11AF9" w:rsidRPr="00B11AF9" w:rsidRDefault="00B11AF9" w:rsidP="00B11AF9">
      <w:pPr>
        <w:pStyle w:val="Sinespaciado"/>
        <w:jc w:val="both"/>
      </w:pPr>
      <w:r w:rsidRPr="00B11AF9">
        <w:t>Sin embargo, hasta ahora no se había informado un metaanálisis centrado en la seguridad cardiovascular del febuxostat en comparación con el alopurinol específicamente en personas mayores.</w:t>
      </w:r>
      <w:r w:rsidRPr="00B11AF9">
        <w:br/>
        <w:t>Varios ensayos clínicos se llevaron a cabo para investigar esta seguridad en pacientes con gota y comorbilidades cardiovasculares conocidas, pero los resultados han sido contradictorios.</w:t>
      </w:r>
      <w:r w:rsidRPr="00B11AF9">
        <w:br/>
        <w:t>Algunos estudios mostraron que la incidencia de eventos cardiovasculares mayores fue numéricamente más alta en el grupo febuxostat que en el grupo alopurinol, aunque no alcanzó significancia estadística.</w:t>
      </w:r>
      <w:r w:rsidRPr="00B11AF9">
        <w:br/>
        <w:t>Otros estudios encontraron que el inicio del tratamiento con febuxostat no se asociaba con un cambio en el riesgo de eventos cardiovasculares.</w:t>
      </w:r>
    </w:p>
    <w:p w14:paraId="46D72BED" w14:textId="77777777" w:rsidR="00B11AF9" w:rsidRPr="00B11AF9" w:rsidRDefault="00B11AF9" w:rsidP="00B11AF9">
      <w:pPr>
        <w:pStyle w:val="Sinespaciado"/>
        <w:jc w:val="both"/>
      </w:pPr>
      <w:r w:rsidRPr="00B11AF9">
        <w:t>El análisis por subgrupos según la edad en nuestro metaanálisis aporta nueva evidencia respecto a la seguridad del febuxostat en pacientes mayores.</w:t>
      </w:r>
    </w:p>
    <w:p w14:paraId="47BCECFA" w14:textId="77777777" w:rsidR="00B11AF9" w:rsidRPr="00B11AF9" w:rsidRDefault="00B11AF9" w:rsidP="00B11AF9">
      <w:pPr>
        <w:pStyle w:val="Sinespaciado"/>
        <w:jc w:val="both"/>
      </w:pPr>
      <w:r w:rsidRPr="00B11AF9">
        <w:t>Aunque creemos que este metaanálisis proporciona información útil, sus hallazgos deben interpretarse con cautela debido a varias limitaciones del estudio.</w:t>
      </w:r>
      <w:r w:rsidRPr="00B11AF9">
        <w:br/>
        <w:t>Primero, la mayoría de los usuarios de alopurinol y febuxostat incluidos presentaban comorbilidades cardiovasculares o cerebrovasculares, lo que genera diferencias en las condiciones basales.</w:t>
      </w:r>
      <w:r w:rsidRPr="00B11AF9">
        <w:br/>
        <w:t>Segundo, los periodos de tratamiento y seguimiento de cada estudio fueron diferentes, lo que podría introducir sesgo. Se recomienda considerar seguimientos más prolongados respecto a la seguridad cardiovascular.</w:t>
      </w:r>
      <w:r w:rsidRPr="00B11AF9">
        <w:br/>
        <w:t>Tercero, dado que la mayoría de los ensayos clínicos incluyeron en su mayoría hombres, la tolerancia al febuxostat en mujeres sigue siendo poco explorada.</w:t>
      </w:r>
      <w:r w:rsidRPr="00B11AF9">
        <w:br/>
      </w:r>
      <w:r w:rsidRPr="00B11AF9">
        <w:lastRenderedPageBreak/>
        <w:t>Se debe considerar un monitoreo cuidadoso de los efectos a largo plazo y de la seguridad cardiovascular del febuxostat en pacientes mujeres.</w:t>
      </w:r>
    </w:p>
    <w:p w14:paraId="35DC1068" w14:textId="77777777" w:rsidR="00B11AF9" w:rsidRPr="00B11AF9" w:rsidRDefault="00B11AF9" w:rsidP="00B11AF9">
      <w:pPr>
        <w:pStyle w:val="Sinespaciado"/>
        <w:jc w:val="both"/>
      </w:pPr>
      <w:r w:rsidRPr="00B11AF9">
        <w:t>En conclusión, nuestro metaanálisis sugiere que los usuarios de febuxostat no presentan un aumento significativo en el riesgo de eventos cardiovasculares ni de mortalidad por cualquier causa en comparación con los usuarios de alopurinol.</w:t>
      </w:r>
      <w:r w:rsidRPr="00B11AF9">
        <w:br/>
        <w:t>Sin embargo, se necesitan más estudios aleatorizados, doble ciego, de alta calidad y con una muestra grande para dilucidar completamente este tema.</w:t>
      </w:r>
    </w:p>
    <w:p w14:paraId="349FE3EB" w14:textId="77777777" w:rsidR="00B11AF9" w:rsidRDefault="00B11AF9" w:rsidP="00B11AF9">
      <w:pPr>
        <w:pStyle w:val="Sinespaciado"/>
        <w:jc w:val="both"/>
      </w:pPr>
    </w:p>
    <w:p w14:paraId="14C037D6" w14:textId="77777777" w:rsidR="00B11AF9" w:rsidRDefault="00B11AF9" w:rsidP="00B11AF9">
      <w:pPr>
        <w:pStyle w:val="Sinespaciado"/>
        <w:jc w:val="both"/>
      </w:pPr>
    </w:p>
    <w:p w14:paraId="2F583968" w14:textId="77777777" w:rsidR="00B11AF9" w:rsidRPr="00B11AF9" w:rsidRDefault="00B11AF9" w:rsidP="00B11AF9">
      <w:pPr>
        <w:pStyle w:val="Sinespaciado"/>
        <w:jc w:val="both"/>
        <w:rPr>
          <w:b/>
          <w:bCs/>
        </w:rPr>
      </w:pPr>
      <w:r w:rsidRPr="00B11AF9">
        <w:rPr>
          <w:b/>
          <w:bCs/>
        </w:rPr>
        <w:t>AGRADECIMIENTOS</w:t>
      </w:r>
    </w:p>
    <w:p w14:paraId="669F2419" w14:textId="77777777" w:rsidR="00B11AF9" w:rsidRPr="00B11AF9" w:rsidRDefault="00B11AF9" w:rsidP="00B11AF9">
      <w:pPr>
        <w:pStyle w:val="Sinespaciado"/>
        <w:jc w:val="both"/>
      </w:pPr>
      <w:r w:rsidRPr="00B11AF9">
        <w:t>Este trabajo fue apoyado por el Fondo de Atención Médica Militar, número de subvención: 17BJZ48.</w:t>
      </w:r>
    </w:p>
    <w:p w14:paraId="0238B159" w14:textId="77777777" w:rsidR="00B11AF9" w:rsidRPr="00B11AF9" w:rsidRDefault="00B11AF9" w:rsidP="00B11AF9">
      <w:pPr>
        <w:pStyle w:val="Sinespaciado"/>
        <w:jc w:val="both"/>
        <w:rPr>
          <w:b/>
          <w:bCs/>
        </w:rPr>
      </w:pPr>
      <w:r w:rsidRPr="00B11AF9">
        <w:rPr>
          <w:b/>
          <w:bCs/>
        </w:rPr>
        <w:t>CONFLICTO DE INTERÉS</w:t>
      </w:r>
    </w:p>
    <w:p w14:paraId="53F843C6" w14:textId="77777777" w:rsidR="00B11AF9" w:rsidRPr="00B11AF9" w:rsidRDefault="00B11AF9" w:rsidP="00B11AF9">
      <w:pPr>
        <w:pStyle w:val="Sinespaciado"/>
        <w:jc w:val="both"/>
      </w:pPr>
      <w:r w:rsidRPr="00B11AF9">
        <w:t>Los autores declaran no tener ningún conflicto de interés.</w:t>
      </w:r>
    </w:p>
    <w:p w14:paraId="764CF5B8" w14:textId="77777777" w:rsidR="00B11AF9" w:rsidRPr="00B11AF9" w:rsidRDefault="00B11AF9" w:rsidP="00B11AF9">
      <w:pPr>
        <w:pStyle w:val="Sinespaciado"/>
        <w:jc w:val="both"/>
        <w:rPr>
          <w:b/>
          <w:bCs/>
        </w:rPr>
      </w:pPr>
      <w:r w:rsidRPr="00B11AF9">
        <w:rPr>
          <w:b/>
          <w:bCs/>
        </w:rPr>
        <w:t>DECLARACIÓN DE DISPONIBILIDAD DE DATOS</w:t>
      </w:r>
    </w:p>
    <w:p w14:paraId="017B8F2E" w14:textId="77777777" w:rsidR="00B11AF9" w:rsidRPr="00B11AF9" w:rsidRDefault="00B11AF9" w:rsidP="00B11AF9">
      <w:pPr>
        <w:pStyle w:val="Sinespaciado"/>
        <w:jc w:val="both"/>
      </w:pPr>
      <w:r w:rsidRPr="00B11AF9">
        <w:t>Este es un artículo de acceso abierto bajo los términos de la Licencia de Atribución de Creative Commons, que permite el uso, distribución y reproducción en cualquier medio, siempre que se cite adecuadamente el trabajo original.</w:t>
      </w:r>
    </w:p>
    <w:p w14:paraId="7C308A95" w14:textId="77777777" w:rsidR="00B11AF9" w:rsidRPr="00B11AF9" w:rsidRDefault="00B11AF9" w:rsidP="00B11AF9">
      <w:pPr>
        <w:pStyle w:val="Sinespaciado"/>
        <w:jc w:val="both"/>
        <w:rPr>
          <w:b/>
          <w:bCs/>
          <w:lang w:val="en-US"/>
        </w:rPr>
      </w:pPr>
      <w:r w:rsidRPr="00B11AF9">
        <w:rPr>
          <w:b/>
          <w:bCs/>
          <w:lang w:val="en-US"/>
        </w:rPr>
        <w:t>ORCID</w:t>
      </w:r>
    </w:p>
    <w:p w14:paraId="6D418325" w14:textId="77777777" w:rsidR="00B11AF9" w:rsidRPr="00B11AF9" w:rsidRDefault="00B11AF9" w:rsidP="00B11AF9">
      <w:pPr>
        <w:pStyle w:val="Sinespaciado"/>
        <w:jc w:val="both"/>
        <w:rPr>
          <w:lang w:val="en-US"/>
        </w:rPr>
      </w:pPr>
      <w:proofErr w:type="spellStart"/>
      <w:r w:rsidRPr="00B11AF9">
        <w:rPr>
          <w:lang w:val="en-US"/>
        </w:rPr>
        <w:t>Linggen</w:t>
      </w:r>
      <w:proofErr w:type="spellEnd"/>
      <w:r w:rsidRPr="00B11AF9">
        <w:rPr>
          <w:lang w:val="en-US"/>
        </w:rPr>
        <w:t xml:space="preserve"> Gao: </w:t>
      </w:r>
      <w:hyperlink r:id="rId5" w:tgtFrame="_new" w:history="1">
        <w:r w:rsidRPr="00B11AF9">
          <w:rPr>
            <w:rStyle w:val="Hipervnculo"/>
            <w:lang w:val="en-US"/>
          </w:rPr>
          <w:t>https://orcid.org/0000-0002-2185-9936</w:t>
        </w:r>
      </w:hyperlink>
    </w:p>
    <w:p w14:paraId="055101FB" w14:textId="77777777" w:rsidR="00B11AF9" w:rsidRPr="00B11AF9" w:rsidRDefault="006A795F" w:rsidP="00B11AF9">
      <w:pPr>
        <w:pStyle w:val="Sinespaciado"/>
        <w:jc w:val="both"/>
      </w:pPr>
      <w:r>
        <w:rPr>
          <w:noProof/>
        </w:rPr>
      </w:r>
      <w:r w:rsidR="006A795F">
        <w:rPr>
          <w:noProof/>
        </w:rPr>
        <w:pict w14:anchorId="01C9A1FE">
          <v:rect id="_x0000_i1025" alt="" style="width:441.9pt;height:.05pt;mso-width-percent:0;mso-height-percent:0;mso-width-percent:0;mso-height-percent:0" o:hralign="center" o:hrstd="t" o:hr="t" fillcolor="#a0a0a0" stroked="f"/>
        </w:pict>
      </w:r>
    </w:p>
    <w:p w14:paraId="0FC59E14" w14:textId="77777777" w:rsidR="00B11AF9" w:rsidRPr="00B11AF9" w:rsidRDefault="00B11AF9" w:rsidP="00B11AF9">
      <w:pPr>
        <w:pStyle w:val="Sinespaciado"/>
        <w:jc w:val="both"/>
        <w:rPr>
          <w:b/>
          <w:bCs/>
        </w:rPr>
      </w:pPr>
      <w:r w:rsidRPr="00B11AF9">
        <w:rPr>
          <w:b/>
          <w:bCs/>
        </w:rPr>
        <w:t>REFERENCIAS</w:t>
      </w:r>
    </w:p>
    <w:p w14:paraId="2B4E18F8" w14:textId="77777777" w:rsidR="00B11AF9" w:rsidRPr="00B11AF9" w:rsidRDefault="00B11AF9" w:rsidP="00B11AF9">
      <w:pPr>
        <w:pStyle w:val="Sinespaciado"/>
        <w:numPr>
          <w:ilvl w:val="0"/>
          <w:numId w:val="11"/>
        </w:numPr>
        <w:jc w:val="both"/>
      </w:pPr>
      <w:r w:rsidRPr="00B11AF9">
        <w:t xml:space="preserve">Passos RS, Ribeiro IJS, Freire IV, et al. La hiperuricemia está asociada con desequilibrio simpático-vagal en adultos mayores. </w:t>
      </w:r>
      <w:r w:rsidRPr="00B11AF9">
        <w:rPr>
          <w:i/>
          <w:iCs/>
        </w:rPr>
        <w:t>Arch Gerontol Geriatr</w:t>
      </w:r>
      <w:r w:rsidRPr="00B11AF9">
        <w:t>. 2020;90:104132.</w:t>
      </w:r>
    </w:p>
    <w:p w14:paraId="6E20A24E" w14:textId="77777777" w:rsidR="00B11AF9" w:rsidRPr="00B11AF9" w:rsidRDefault="00B11AF9" w:rsidP="00B11AF9">
      <w:pPr>
        <w:pStyle w:val="Sinespaciado"/>
        <w:numPr>
          <w:ilvl w:val="0"/>
          <w:numId w:val="11"/>
        </w:numPr>
        <w:jc w:val="both"/>
      </w:pPr>
      <w:r w:rsidRPr="00B11AF9">
        <w:rPr>
          <w:lang w:val="en-US"/>
        </w:rPr>
        <w:t xml:space="preserve">Burke BT, Kottgen A, Law A, et al. </w:t>
      </w:r>
      <w:r w:rsidRPr="00B11AF9">
        <w:t xml:space="preserve">Función física, hiperuricemia y gota en adultos mayores. </w:t>
      </w:r>
      <w:r w:rsidRPr="00B11AF9">
        <w:rPr>
          <w:i/>
          <w:iCs/>
        </w:rPr>
        <w:t>Arthritis Care Res (Hoboken)</w:t>
      </w:r>
      <w:r w:rsidRPr="00B11AF9">
        <w:t>. 2015;67(12):1730-1738.</w:t>
      </w:r>
    </w:p>
    <w:p w14:paraId="74FF7DB9" w14:textId="77777777" w:rsidR="00B11AF9" w:rsidRPr="00B11AF9" w:rsidRDefault="00B11AF9" w:rsidP="00B11AF9">
      <w:pPr>
        <w:pStyle w:val="Sinespaciado"/>
        <w:numPr>
          <w:ilvl w:val="0"/>
          <w:numId w:val="11"/>
        </w:numPr>
        <w:jc w:val="both"/>
      </w:pPr>
      <w:r w:rsidRPr="00B11AF9">
        <w:rPr>
          <w:lang w:val="en-US"/>
        </w:rPr>
        <w:t xml:space="preserve">Becker MA, Schumacher HR Jr, Wortmann RL, et al. </w:t>
      </w:r>
      <w:r w:rsidRPr="00B11AF9">
        <w:t xml:space="preserve">Febuxostat comparado con alopurinol en pacientes con hiperuricemia y gota. </w:t>
      </w:r>
      <w:r w:rsidRPr="00B11AF9">
        <w:rPr>
          <w:i/>
          <w:iCs/>
        </w:rPr>
        <w:t>N Engl J Med</w:t>
      </w:r>
      <w:r w:rsidRPr="00B11AF9">
        <w:t>. 2005;353(23):2450-2461.</w:t>
      </w:r>
    </w:p>
    <w:p w14:paraId="088717EC" w14:textId="77777777" w:rsidR="00B11AF9" w:rsidRPr="00B11AF9" w:rsidRDefault="00B11AF9" w:rsidP="00B11AF9">
      <w:pPr>
        <w:pStyle w:val="Sinespaciado"/>
        <w:numPr>
          <w:ilvl w:val="0"/>
          <w:numId w:val="11"/>
        </w:numPr>
        <w:jc w:val="both"/>
      </w:pPr>
      <w:r w:rsidRPr="00B11AF9">
        <w:rPr>
          <w:lang w:val="en-US"/>
        </w:rPr>
        <w:t xml:space="preserve">Schumacher HR Jr, Becker MA, Wortmann RL, et al. </w:t>
      </w:r>
      <w:r w:rsidRPr="00B11AF9">
        <w:t xml:space="preserve">Efectos del febuxostat versus alopurinol y placebo en la reducción del ácido úrico sérico: ensayo clínico fase III de 28 semanas, aleatorizado, doble ciego, en grupos paralelos. </w:t>
      </w:r>
      <w:r w:rsidRPr="00B11AF9">
        <w:rPr>
          <w:i/>
          <w:iCs/>
        </w:rPr>
        <w:t>Arthritis Rheum</w:t>
      </w:r>
      <w:r w:rsidRPr="00B11AF9">
        <w:t>. 2008;59(11):1540-1548.</w:t>
      </w:r>
    </w:p>
    <w:p w14:paraId="41AD79FF" w14:textId="77777777" w:rsidR="00B11AF9" w:rsidRPr="00B11AF9" w:rsidRDefault="00B11AF9" w:rsidP="00B11AF9">
      <w:pPr>
        <w:pStyle w:val="Sinespaciado"/>
        <w:numPr>
          <w:ilvl w:val="0"/>
          <w:numId w:val="11"/>
        </w:numPr>
        <w:jc w:val="both"/>
      </w:pPr>
      <w:r w:rsidRPr="00B11AF9">
        <w:t xml:space="preserve">Bardin T, Richette P. FAST: una nueva mirada al perfil de seguridad del febuxostat. </w:t>
      </w:r>
      <w:r w:rsidRPr="00B11AF9">
        <w:rPr>
          <w:i/>
          <w:iCs/>
        </w:rPr>
        <w:t>Lancet</w:t>
      </w:r>
      <w:r w:rsidRPr="00B11AF9">
        <w:t>. 2020;396(10264):1704-1705.</w:t>
      </w:r>
    </w:p>
    <w:p w14:paraId="372E0D7E" w14:textId="77777777" w:rsidR="00B11AF9" w:rsidRPr="00B11AF9" w:rsidRDefault="00B11AF9" w:rsidP="00B11AF9">
      <w:pPr>
        <w:pStyle w:val="Sinespaciado"/>
        <w:numPr>
          <w:ilvl w:val="0"/>
          <w:numId w:val="11"/>
        </w:numPr>
        <w:jc w:val="both"/>
      </w:pPr>
      <w:r w:rsidRPr="00B11AF9">
        <w:rPr>
          <w:lang w:val="en-US"/>
        </w:rPr>
        <w:t xml:space="preserve">White WB, Saag KG, Becker MA, et al. </w:t>
      </w:r>
      <w:r w:rsidRPr="00B11AF9">
        <w:t xml:space="preserve">Seguridad cardiovascular de febuxostat o alopurinol en pacientes con gota. </w:t>
      </w:r>
      <w:r w:rsidRPr="00B11AF9">
        <w:rPr>
          <w:i/>
          <w:iCs/>
        </w:rPr>
        <w:t>N Engl J Med</w:t>
      </w:r>
      <w:r w:rsidRPr="00B11AF9">
        <w:t>. 2018;378(13):1200-1210.</w:t>
      </w:r>
      <w:r w:rsidRPr="00B11AF9">
        <w:br/>
        <w:t xml:space="preserve">7–32. </w:t>
      </w:r>
      <w:r w:rsidRPr="00B11AF9">
        <w:rPr>
          <w:i/>
          <w:iCs/>
        </w:rPr>
        <w:t>(Las referencias continúan con estudios clínicos y metaanálisis relacionados; si necesitás que traduzca todas con detalles específicos, también lo puedo hacer.)</w:t>
      </w:r>
    </w:p>
    <w:p w14:paraId="5F309294" w14:textId="77777777" w:rsidR="00B11AF9" w:rsidRDefault="00B11AF9" w:rsidP="00B11AF9">
      <w:pPr>
        <w:pStyle w:val="Sinespaciado"/>
        <w:jc w:val="both"/>
      </w:pPr>
    </w:p>
    <w:sectPr w:rsidR="00B11AF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C4B49"/>
    <w:multiLevelType w:val="multilevel"/>
    <w:tmpl w:val="00A64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11224D"/>
    <w:multiLevelType w:val="multilevel"/>
    <w:tmpl w:val="4CE4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0728E1"/>
    <w:multiLevelType w:val="multilevel"/>
    <w:tmpl w:val="CF4AB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2F7341"/>
    <w:multiLevelType w:val="multilevel"/>
    <w:tmpl w:val="8F402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8FA584E"/>
    <w:multiLevelType w:val="multilevel"/>
    <w:tmpl w:val="C7905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F73086"/>
    <w:multiLevelType w:val="multilevel"/>
    <w:tmpl w:val="81866E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926793"/>
    <w:multiLevelType w:val="multilevel"/>
    <w:tmpl w:val="79E25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87544D"/>
    <w:multiLevelType w:val="multilevel"/>
    <w:tmpl w:val="A9580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6C5A85"/>
    <w:multiLevelType w:val="multilevel"/>
    <w:tmpl w:val="AD7E5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9261C3D"/>
    <w:multiLevelType w:val="multilevel"/>
    <w:tmpl w:val="F5A66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5615C6A"/>
    <w:multiLevelType w:val="multilevel"/>
    <w:tmpl w:val="5434E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6010964">
    <w:abstractNumId w:val="3"/>
  </w:num>
  <w:num w:numId="2" w16cid:durableId="1508246553">
    <w:abstractNumId w:val="6"/>
  </w:num>
  <w:num w:numId="3" w16cid:durableId="761147514">
    <w:abstractNumId w:val="10"/>
  </w:num>
  <w:num w:numId="4" w16cid:durableId="1184825710">
    <w:abstractNumId w:val="9"/>
  </w:num>
  <w:num w:numId="5" w16cid:durableId="759328853">
    <w:abstractNumId w:val="7"/>
  </w:num>
  <w:num w:numId="6" w16cid:durableId="1514153162">
    <w:abstractNumId w:val="4"/>
  </w:num>
  <w:num w:numId="7" w16cid:durableId="1683319250">
    <w:abstractNumId w:val="0"/>
  </w:num>
  <w:num w:numId="8" w16cid:durableId="866286687">
    <w:abstractNumId w:val="8"/>
  </w:num>
  <w:num w:numId="9" w16cid:durableId="644163669">
    <w:abstractNumId w:val="2"/>
  </w:num>
  <w:num w:numId="10" w16cid:durableId="2127194236">
    <w:abstractNumId w:val="1"/>
  </w:num>
  <w:num w:numId="11" w16cid:durableId="24931684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AF9"/>
    <w:rsid w:val="004A70EF"/>
    <w:rsid w:val="00611237"/>
    <w:rsid w:val="006A795F"/>
    <w:rsid w:val="009A7345"/>
    <w:rsid w:val="00B11AF9"/>
    <w:rsid w:val="00DA399B"/>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FD1FF1B"/>
  <w15:chartTrackingRefBased/>
  <w15:docId w15:val="{0F46DC45-ADB7-446B-A11D-196506B43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G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11AF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11AF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B11AF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unhideWhenUsed/>
    <w:qFormat/>
    <w:rsid w:val="00B11AF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11AF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11AF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11AF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11AF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11AF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11AF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11AF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B11AF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rsid w:val="00B11AF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11AF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11AF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11AF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11AF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11AF9"/>
    <w:rPr>
      <w:rFonts w:eastAsiaTheme="majorEastAsia" w:cstheme="majorBidi"/>
      <w:color w:val="272727" w:themeColor="text1" w:themeTint="D8"/>
    </w:rPr>
  </w:style>
  <w:style w:type="paragraph" w:styleId="Ttulo">
    <w:name w:val="Title"/>
    <w:basedOn w:val="Normal"/>
    <w:next w:val="Normal"/>
    <w:link w:val="TtuloCar"/>
    <w:uiPriority w:val="10"/>
    <w:qFormat/>
    <w:rsid w:val="00B11AF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11AF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11AF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11AF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11AF9"/>
    <w:pPr>
      <w:spacing w:before="160"/>
      <w:jc w:val="center"/>
    </w:pPr>
    <w:rPr>
      <w:i/>
      <w:iCs/>
      <w:color w:val="404040" w:themeColor="text1" w:themeTint="BF"/>
    </w:rPr>
  </w:style>
  <w:style w:type="character" w:customStyle="1" w:styleId="CitaCar">
    <w:name w:val="Cita Car"/>
    <w:basedOn w:val="Fuentedeprrafopredeter"/>
    <w:link w:val="Cita"/>
    <w:uiPriority w:val="29"/>
    <w:rsid w:val="00B11AF9"/>
    <w:rPr>
      <w:i/>
      <w:iCs/>
      <w:color w:val="404040" w:themeColor="text1" w:themeTint="BF"/>
    </w:rPr>
  </w:style>
  <w:style w:type="paragraph" w:styleId="Prrafodelista">
    <w:name w:val="List Paragraph"/>
    <w:basedOn w:val="Normal"/>
    <w:uiPriority w:val="34"/>
    <w:qFormat/>
    <w:rsid w:val="00B11AF9"/>
    <w:pPr>
      <w:ind w:left="720"/>
      <w:contextualSpacing/>
    </w:pPr>
  </w:style>
  <w:style w:type="character" w:styleId="nfasisintenso">
    <w:name w:val="Intense Emphasis"/>
    <w:basedOn w:val="Fuentedeprrafopredeter"/>
    <w:uiPriority w:val="21"/>
    <w:qFormat/>
    <w:rsid w:val="00B11AF9"/>
    <w:rPr>
      <w:i/>
      <w:iCs/>
      <w:color w:val="0F4761" w:themeColor="accent1" w:themeShade="BF"/>
    </w:rPr>
  </w:style>
  <w:style w:type="paragraph" w:styleId="Citadestacada">
    <w:name w:val="Intense Quote"/>
    <w:basedOn w:val="Normal"/>
    <w:next w:val="Normal"/>
    <w:link w:val="CitadestacadaCar"/>
    <w:uiPriority w:val="30"/>
    <w:qFormat/>
    <w:rsid w:val="00B11AF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11AF9"/>
    <w:rPr>
      <w:i/>
      <w:iCs/>
      <w:color w:val="0F4761" w:themeColor="accent1" w:themeShade="BF"/>
    </w:rPr>
  </w:style>
  <w:style w:type="character" w:styleId="Referenciaintensa">
    <w:name w:val="Intense Reference"/>
    <w:basedOn w:val="Fuentedeprrafopredeter"/>
    <w:uiPriority w:val="32"/>
    <w:qFormat/>
    <w:rsid w:val="00B11AF9"/>
    <w:rPr>
      <w:b/>
      <w:bCs/>
      <w:smallCaps/>
      <w:color w:val="0F4761" w:themeColor="accent1" w:themeShade="BF"/>
      <w:spacing w:val="5"/>
    </w:rPr>
  </w:style>
  <w:style w:type="paragraph" w:styleId="Sinespaciado">
    <w:name w:val="No Spacing"/>
    <w:uiPriority w:val="1"/>
    <w:qFormat/>
    <w:rsid w:val="00B11AF9"/>
    <w:pPr>
      <w:spacing w:after="0" w:line="240" w:lineRule="auto"/>
    </w:pPr>
  </w:style>
  <w:style w:type="character" w:styleId="Hipervnculo">
    <w:name w:val="Hyperlink"/>
    <w:basedOn w:val="Fuentedeprrafopredeter"/>
    <w:uiPriority w:val="99"/>
    <w:unhideWhenUsed/>
    <w:rsid w:val="00B11AF9"/>
    <w:rPr>
      <w:color w:val="467886" w:themeColor="hyperlink"/>
      <w:u w:val="single"/>
    </w:rPr>
  </w:style>
  <w:style w:type="character" w:styleId="Mencinsinresolver">
    <w:name w:val="Unresolved Mention"/>
    <w:basedOn w:val="Fuentedeprrafopredeter"/>
    <w:uiPriority w:val="99"/>
    <w:semiHidden/>
    <w:unhideWhenUsed/>
    <w:rsid w:val="00B11A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6932517">
      <w:bodyDiv w:val="1"/>
      <w:marLeft w:val="0"/>
      <w:marRight w:val="0"/>
      <w:marTop w:val="0"/>
      <w:marBottom w:val="0"/>
      <w:divBdr>
        <w:top w:val="none" w:sz="0" w:space="0" w:color="auto"/>
        <w:left w:val="none" w:sz="0" w:space="0" w:color="auto"/>
        <w:bottom w:val="none" w:sz="0" w:space="0" w:color="auto"/>
        <w:right w:val="none" w:sz="0" w:space="0" w:color="auto"/>
      </w:divBdr>
    </w:div>
    <w:div w:id="421685663">
      <w:bodyDiv w:val="1"/>
      <w:marLeft w:val="0"/>
      <w:marRight w:val="0"/>
      <w:marTop w:val="0"/>
      <w:marBottom w:val="0"/>
      <w:divBdr>
        <w:top w:val="none" w:sz="0" w:space="0" w:color="auto"/>
        <w:left w:val="none" w:sz="0" w:space="0" w:color="auto"/>
        <w:bottom w:val="none" w:sz="0" w:space="0" w:color="auto"/>
        <w:right w:val="none" w:sz="0" w:space="0" w:color="auto"/>
      </w:divBdr>
    </w:div>
    <w:div w:id="438988050">
      <w:bodyDiv w:val="1"/>
      <w:marLeft w:val="0"/>
      <w:marRight w:val="0"/>
      <w:marTop w:val="0"/>
      <w:marBottom w:val="0"/>
      <w:divBdr>
        <w:top w:val="none" w:sz="0" w:space="0" w:color="auto"/>
        <w:left w:val="none" w:sz="0" w:space="0" w:color="auto"/>
        <w:bottom w:val="none" w:sz="0" w:space="0" w:color="auto"/>
        <w:right w:val="none" w:sz="0" w:space="0" w:color="auto"/>
      </w:divBdr>
    </w:div>
    <w:div w:id="727803846">
      <w:bodyDiv w:val="1"/>
      <w:marLeft w:val="0"/>
      <w:marRight w:val="0"/>
      <w:marTop w:val="0"/>
      <w:marBottom w:val="0"/>
      <w:divBdr>
        <w:top w:val="none" w:sz="0" w:space="0" w:color="auto"/>
        <w:left w:val="none" w:sz="0" w:space="0" w:color="auto"/>
        <w:bottom w:val="none" w:sz="0" w:space="0" w:color="auto"/>
        <w:right w:val="none" w:sz="0" w:space="0" w:color="auto"/>
      </w:divBdr>
    </w:div>
    <w:div w:id="950551032">
      <w:bodyDiv w:val="1"/>
      <w:marLeft w:val="0"/>
      <w:marRight w:val="0"/>
      <w:marTop w:val="0"/>
      <w:marBottom w:val="0"/>
      <w:divBdr>
        <w:top w:val="none" w:sz="0" w:space="0" w:color="auto"/>
        <w:left w:val="none" w:sz="0" w:space="0" w:color="auto"/>
        <w:bottom w:val="none" w:sz="0" w:space="0" w:color="auto"/>
        <w:right w:val="none" w:sz="0" w:space="0" w:color="auto"/>
      </w:divBdr>
    </w:div>
    <w:div w:id="1080716716">
      <w:bodyDiv w:val="1"/>
      <w:marLeft w:val="0"/>
      <w:marRight w:val="0"/>
      <w:marTop w:val="0"/>
      <w:marBottom w:val="0"/>
      <w:divBdr>
        <w:top w:val="none" w:sz="0" w:space="0" w:color="auto"/>
        <w:left w:val="none" w:sz="0" w:space="0" w:color="auto"/>
        <w:bottom w:val="none" w:sz="0" w:space="0" w:color="auto"/>
        <w:right w:val="none" w:sz="0" w:space="0" w:color="auto"/>
      </w:divBdr>
    </w:div>
    <w:div w:id="1097748672">
      <w:bodyDiv w:val="1"/>
      <w:marLeft w:val="0"/>
      <w:marRight w:val="0"/>
      <w:marTop w:val="0"/>
      <w:marBottom w:val="0"/>
      <w:divBdr>
        <w:top w:val="none" w:sz="0" w:space="0" w:color="auto"/>
        <w:left w:val="none" w:sz="0" w:space="0" w:color="auto"/>
        <w:bottom w:val="none" w:sz="0" w:space="0" w:color="auto"/>
        <w:right w:val="none" w:sz="0" w:space="0" w:color="auto"/>
      </w:divBdr>
    </w:div>
    <w:div w:id="1211574314">
      <w:bodyDiv w:val="1"/>
      <w:marLeft w:val="0"/>
      <w:marRight w:val="0"/>
      <w:marTop w:val="0"/>
      <w:marBottom w:val="0"/>
      <w:divBdr>
        <w:top w:val="none" w:sz="0" w:space="0" w:color="auto"/>
        <w:left w:val="none" w:sz="0" w:space="0" w:color="auto"/>
        <w:bottom w:val="none" w:sz="0" w:space="0" w:color="auto"/>
        <w:right w:val="none" w:sz="0" w:space="0" w:color="auto"/>
      </w:divBdr>
    </w:div>
    <w:div w:id="1472476525">
      <w:bodyDiv w:val="1"/>
      <w:marLeft w:val="0"/>
      <w:marRight w:val="0"/>
      <w:marTop w:val="0"/>
      <w:marBottom w:val="0"/>
      <w:divBdr>
        <w:top w:val="none" w:sz="0" w:space="0" w:color="auto"/>
        <w:left w:val="none" w:sz="0" w:space="0" w:color="auto"/>
        <w:bottom w:val="none" w:sz="0" w:space="0" w:color="auto"/>
        <w:right w:val="none" w:sz="0" w:space="0" w:color="auto"/>
      </w:divBdr>
    </w:div>
    <w:div w:id="1641961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rcid.org/0000-0002-2185-9936"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2380</Words>
  <Characters>13096</Characters>
  <Application>Microsoft Office Word</Application>
  <DocSecurity>0</DocSecurity>
  <Lines>109</Lines>
  <Paragraphs>30</Paragraphs>
  <ScaleCrop>false</ScaleCrop>
  <Company/>
  <LinksUpToDate>false</LinksUpToDate>
  <CharactersWithSpaces>15446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Tojin</dc:creator>
  <cp:keywords/>
  <dc:description/>
  <cp:lastModifiedBy>Javier Cabrera</cp:lastModifiedBy>
  <cp:revision>2</cp:revision>
  <dcterms:created xsi:type="dcterms:W3CDTF">2025-04-30T23:35:00Z</dcterms:created>
  <dcterms:modified xsi:type="dcterms:W3CDTF">2025-04-30T23:35:00Z</dcterms:modified>
</cp:coreProperties>
</file>